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5BFD9" w14:textId="7D9DEEBA" w:rsidR="00ED30EB" w:rsidRDefault="00D52CE1" w:rsidP="00D52CE1">
      <w:pPr>
        <w:jc w:val="right"/>
      </w:pPr>
      <w:r>
        <w:rPr>
          <w:noProof/>
        </w:rPr>
        <w:drawing>
          <wp:inline distT="0" distB="0" distL="0" distR="0" wp14:anchorId="311DB694" wp14:editId="7422FF02">
            <wp:extent cx="2245181" cy="76962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56242" cy="773412"/>
                    </a:xfrm>
                    <a:prstGeom prst="rect">
                      <a:avLst/>
                    </a:prstGeom>
                    <a:noFill/>
                    <a:ln>
                      <a:noFill/>
                    </a:ln>
                  </pic:spPr>
                </pic:pic>
              </a:graphicData>
            </a:graphic>
          </wp:inline>
        </w:drawing>
      </w:r>
    </w:p>
    <w:p w14:paraId="7C2E1362" w14:textId="77777777" w:rsidR="006137CB" w:rsidRPr="000864B4" w:rsidRDefault="006137CB" w:rsidP="006137CB">
      <w:pPr>
        <w:spacing w:line="360" w:lineRule="auto"/>
        <w:jc w:val="both"/>
        <w:rPr>
          <w:rFonts w:ascii="Arial" w:hAnsi="Arial" w:cs="Arial"/>
          <w:b/>
          <w:sz w:val="28"/>
          <w:szCs w:val="28"/>
        </w:rPr>
      </w:pPr>
      <w:r w:rsidRPr="000864B4">
        <w:rPr>
          <w:rFonts w:ascii="Arial" w:hAnsi="Arial" w:cs="Arial"/>
          <w:b/>
          <w:sz w:val="28"/>
          <w:szCs w:val="28"/>
        </w:rPr>
        <w:t>FOR IMMEDIATE RELEASE</w:t>
      </w:r>
    </w:p>
    <w:p w14:paraId="0EAA9469" w14:textId="77777777" w:rsidR="006137CB" w:rsidRPr="00E106C7" w:rsidRDefault="006137CB" w:rsidP="006137CB">
      <w:pPr>
        <w:rPr>
          <w:rFonts w:ascii="Arial" w:hAnsi="Arial" w:cs="Arial"/>
        </w:rPr>
      </w:pPr>
    </w:p>
    <w:p w14:paraId="5A590948" w14:textId="77777777" w:rsidR="006703C4" w:rsidRDefault="006703C4" w:rsidP="006703C4">
      <w:pPr>
        <w:spacing w:line="360" w:lineRule="auto"/>
        <w:jc w:val="center"/>
        <w:rPr>
          <w:rFonts w:ascii="Arial" w:hAnsi="Arial" w:cs="Arial"/>
          <w:b/>
          <w:bCs/>
          <w:sz w:val="28"/>
          <w:szCs w:val="28"/>
          <w:shd w:val="clear" w:color="auto" w:fill="FFFFFF"/>
        </w:rPr>
      </w:pPr>
      <w:r w:rsidRPr="006703C4">
        <w:rPr>
          <w:rFonts w:ascii="Arial" w:hAnsi="Arial" w:cs="Arial"/>
          <w:b/>
          <w:bCs/>
          <w:sz w:val="28"/>
          <w:szCs w:val="28"/>
          <w:shd w:val="clear" w:color="auto" w:fill="FFFFFF"/>
        </w:rPr>
        <w:t xml:space="preserve">Bid-Well to Showcase 3600HD and 2418 Work Bridge </w:t>
      </w:r>
    </w:p>
    <w:p w14:paraId="52453F0D" w14:textId="14C811A1" w:rsidR="006703C4" w:rsidRPr="006703C4" w:rsidRDefault="006703C4" w:rsidP="006703C4">
      <w:pPr>
        <w:spacing w:line="360" w:lineRule="auto"/>
        <w:jc w:val="center"/>
        <w:rPr>
          <w:rFonts w:ascii="Arial" w:hAnsi="Arial" w:cs="Arial"/>
          <w:b/>
          <w:bCs/>
          <w:sz w:val="28"/>
          <w:szCs w:val="28"/>
          <w:shd w:val="clear" w:color="auto" w:fill="FFFFFF"/>
        </w:rPr>
      </w:pPr>
      <w:r w:rsidRPr="006703C4">
        <w:rPr>
          <w:rFonts w:ascii="Arial" w:hAnsi="Arial" w:cs="Arial"/>
          <w:b/>
          <w:bCs/>
          <w:sz w:val="28"/>
          <w:szCs w:val="28"/>
          <w:shd w:val="clear" w:color="auto" w:fill="FFFFFF"/>
        </w:rPr>
        <w:t>at CONEXPO-CON/AGG 2026</w:t>
      </w:r>
    </w:p>
    <w:p w14:paraId="3A5E9008" w14:textId="44476E0D" w:rsidR="006703C4" w:rsidRPr="006703C4" w:rsidRDefault="006703C4" w:rsidP="006703C4">
      <w:pPr>
        <w:spacing w:before="180" w:after="120" w:line="360" w:lineRule="auto"/>
        <w:ind w:right="720"/>
        <w:rPr>
          <w:rFonts w:ascii="Arial" w:hAnsi="Arial" w:cs="Arial"/>
          <w:bCs/>
        </w:rPr>
      </w:pPr>
      <w:r w:rsidRPr="006703C4">
        <w:rPr>
          <w:rFonts w:ascii="Arial" w:hAnsi="Arial" w:cs="Arial"/>
          <w:bCs/>
        </w:rPr>
        <w:t>Bid-Well</w:t>
      </w:r>
      <w:r w:rsidRPr="006703C4">
        <w:rPr>
          <w:rFonts w:ascii="Arial" w:hAnsi="Arial" w:cs="Arial"/>
          <w:bCs/>
          <w:vertAlign w:val="superscript"/>
        </w:rPr>
        <w:t>®</w:t>
      </w:r>
      <w:r w:rsidRPr="006703C4">
        <w:rPr>
          <w:rFonts w:ascii="Arial" w:hAnsi="Arial" w:cs="Arial"/>
          <w:bCs/>
        </w:rPr>
        <w:t xml:space="preserve">, a global leader in concrete paving innovation, will present a fully equipped 3600HD roller paver and a 2418 Work Bridge fitted with the EZ Float </w:t>
      </w:r>
      <w:r w:rsidR="00CC4DCF" w:rsidRPr="00CC4DCF">
        <w:rPr>
          <w:rFonts w:ascii="Arial" w:hAnsi="Arial" w:cs="Arial"/>
          <w:bCs/>
        </w:rPr>
        <w:t>leg plates</w:t>
      </w:r>
      <w:r w:rsidR="00CC4DCF">
        <w:rPr>
          <w:rFonts w:ascii="Arial" w:hAnsi="Arial" w:cs="Arial"/>
          <w:bCs/>
        </w:rPr>
        <w:t xml:space="preserve"> </w:t>
      </w:r>
      <w:r w:rsidRPr="006703C4">
        <w:rPr>
          <w:rFonts w:ascii="Arial" w:hAnsi="Arial" w:cs="Arial"/>
          <w:bCs/>
        </w:rPr>
        <w:t>at CONEXPO-CON/AGG 2026. Visitors to the Terex Stand in the Central Hall (Stand C30314) will have the opportunity to explore both machines up close and see how Bid-Well equipment supports contractors on complex civil construction projects.</w:t>
      </w:r>
    </w:p>
    <w:p w14:paraId="18110EC7" w14:textId="77777777" w:rsidR="006703C4" w:rsidRPr="006703C4" w:rsidRDefault="006703C4" w:rsidP="006703C4">
      <w:pPr>
        <w:spacing w:before="180" w:after="120" w:line="360" w:lineRule="auto"/>
        <w:ind w:right="720"/>
        <w:rPr>
          <w:rFonts w:ascii="Arial" w:hAnsi="Arial" w:cs="Arial"/>
          <w:bCs/>
        </w:rPr>
      </w:pPr>
      <w:r w:rsidRPr="006703C4">
        <w:rPr>
          <w:rFonts w:ascii="Arial" w:hAnsi="Arial" w:cs="Arial"/>
          <w:bCs/>
        </w:rPr>
        <w:t>As one of the industry’s most influential gatherings, CONEXPO attracts contractors who are searching for equipment that drives higher quality outcomes, predictable scheduling, and more efficient on-site workflows. Bid-Well’s presence this year is designed around those needs, demonstrating how its purpose-built systems can help crews transition smoothly from placement through finishing in environments where adaptability and precision are critical.</w:t>
      </w:r>
    </w:p>
    <w:p w14:paraId="3C22578D" w14:textId="77777777" w:rsidR="006703C4" w:rsidRPr="006703C4" w:rsidRDefault="006703C4" w:rsidP="006703C4">
      <w:pPr>
        <w:spacing w:before="180" w:after="120" w:line="360" w:lineRule="auto"/>
        <w:ind w:right="720"/>
        <w:rPr>
          <w:rFonts w:ascii="Arial" w:hAnsi="Arial" w:cs="Arial"/>
          <w:bCs/>
        </w:rPr>
      </w:pPr>
      <w:r w:rsidRPr="006703C4">
        <w:rPr>
          <w:rFonts w:ascii="Arial" w:hAnsi="Arial" w:cs="Arial"/>
          <w:bCs/>
        </w:rPr>
        <w:t xml:space="preserve">The 3600HD on display at CONEXPO is configured to mirror demanding, real-world jobsite requirements. Equipped with a universal traffic end, sidewalk paver, Material Transport Lite (MTL), </w:t>
      </w:r>
      <w:proofErr w:type="spellStart"/>
      <w:r w:rsidRPr="006703C4">
        <w:rPr>
          <w:rFonts w:ascii="Arial" w:hAnsi="Arial" w:cs="Arial"/>
          <w:bCs/>
        </w:rPr>
        <w:t>fogger</w:t>
      </w:r>
      <w:proofErr w:type="spellEnd"/>
      <w:r w:rsidRPr="006703C4">
        <w:rPr>
          <w:rFonts w:ascii="Arial" w:hAnsi="Arial" w:cs="Arial"/>
          <w:bCs/>
        </w:rPr>
        <w:t>, universal power crown, and power widening, the machine showcases Bid-Well’s approach to productivity and quality. This configuration allows contractors to streamline setup, produce consistent crown profiles, and adjust paving width quickly as conditions change, supporting efficient, high-quality results on jobs such as airports and highways to commercial slabs and municipal infrastructure.</w:t>
      </w:r>
    </w:p>
    <w:p w14:paraId="7D0E47A5" w14:textId="08A4AB85" w:rsidR="006703C4" w:rsidRPr="006703C4" w:rsidRDefault="006703C4" w:rsidP="006703C4">
      <w:pPr>
        <w:spacing w:before="180" w:after="120" w:line="360" w:lineRule="auto"/>
        <w:ind w:right="720"/>
        <w:rPr>
          <w:rFonts w:ascii="Arial" w:hAnsi="Arial" w:cs="Arial"/>
          <w:bCs/>
        </w:rPr>
      </w:pPr>
      <w:r w:rsidRPr="006703C4">
        <w:rPr>
          <w:rFonts w:ascii="Arial" w:hAnsi="Arial" w:cs="Arial"/>
          <w:bCs/>
        </w:rPr>
        <w:t>Bid-Well will also feature its 2418 Work Bridge fitted with the EZ Float</w:t>
      </w:r>
      <w:r w:rsidR="00CC4DCF">
        <w:rPr>
          <w:rFonts w:ascii="Arial" w:hAnsi="Arial" w:cs="Arial"/>
          <w:bCs/>
        </w:rPr>
        <w:t xml:space="preserve"> </w:t>
      </w:r>
      <w:r w:rsidR="00CC4DCF" w:rsidRPr="00CC4DCF">
        <w:rPr>
          <w:rFonts w:ascii="Arial" w:hAnsi="Arial" w:cs="Arial"/>
          <w:bCs/>
        </w:rPr>
        <w:t>leg plates</w:t>
      </w:r>
      <w:r w:rsidRPr="006703C4">
        <w:rPr>
          <w:rFonts w:ascii="Arial" w:hAnsi="Arial" w:cs="Arial"/>
          <w:bCs/>
        </w:rPr>
        <w:t xml:space="preserve">, offering attendees an insight at how finishing teams can enhance consistency while reducing manual fatigue. Bid-Well Work Bridges provide a safe and stable platform for hand finishing, texturing, and </w:t>
      </w:r>
      <w:proofErr w:type="spellStart"/>
      <w:r w:rsidRPr="006703C4">
        <w:rPr>
          <w:rFonts w:ascii="Arial" w:hAnsi="Arial" w:cs="Arial"/>
          <w:bCs/>
        </w:rPr>
        <w:t>tining</w:t>
      </w:r>
      <w:proofErr w:type="spellEnd"/>
      <w:r w:rsidRPr="006703C4">
        <w:rPr>
          <w:rFonts w:ascii="Arial" w:hAnsi="Arial" w:cs="Arial"/>
          <w:bCs/>
        </w:rPr>
        <w:t xml:space="preserve"> concrete slabs and bridge decks. Their lightweight tubular steel truss design and expanded metal non-slip decking enable fast assembly and breakdown, and the available leg options allow the bridges to </w:t>
      </w:r>
      <w:r w:rsidRPr="006703C4">
        <w:rPr>
          <w:rFonts w:ascii="Arial" w:hAnsi="Arial" w:cs="Arial"/>
          <w:bCs/>
        </w:rPr>
        <w:lastRenderedPageBreak/>
        <w:t>adapt to a variety of environments including canals, slopes, barrier walls, or restricted construction zones. Paired with the EZ Float</w:t>
      </w:r>
      <w:r w:rsidR="00CC4DCF">
        <w:rPr>
          <w:rFonts w:ascii="Arial" w:hAnsi="Arial" w:cs="Arial"/>
          <w:bCs/>
        </w:rPr>
        <w:t xml:space="preserve"> </w:t>
      </w:r>
      <w:r w:rsidR="00CC4DCF" w:rsidRPr="00CC4DCF">
        <w:rPr>
          <w:rFonts w:ascii="Arial" w:hAnsi="Arial" w:cs="Arial"/>
          <w:bCs/>
        </w:rPr>
        <w:t>leg plates</w:t>
      </w:r>
      <w:r w:rsidRPr="006703C4">
        <w:rPr>
          <w:rFonts w:ascii="Arial" w:hAnsi="Arial" w:cs="Arial"/>
          <w:bCs/>
        </w:rPr>
        <w:t>, the system helps contractors achieve smoother surfaces with less rework and greater efficiency across long spans.</w:t>
      </w:r>
    </w:p>
    <w:p w14:paraId="421B2F9C" w14:textId="77777777" w:rsidR="006703C4" w:rsidRPr="006703C4" w:rsidRDefault="006703C4" w:rsidP="006703C4">
      <w:pPr>
        <w:spacing w:before="180" w:after="120" w:line="360" w:lineRule="auto"/>
        <w:ind w:right="720"/>
        <w:rPr>
          <w:rFonts w:ascii="Arial" w:hAnsi="Arial" w:cs="Arial"/>
          <w:bCs/>
        </w:rPr>
      </w:pPr>
      <w:r w:rsidRPr="006703C4">
        <w:rPr>
          <w:rFonts w:ascii="Arial" w:hAnsi="Arial" w:cs="Arial"/>
          <w:bCs/>
        </w:rPr>
        <w:t>“CONEXPO gives contractors the chance to learn how Bid-Well machines perform under the same pressures they face on their own jobsites,” said Mark Rhead, Sales Manager for Bid-Well. “We’re looking forward to showing visitors exactly how the features of our equipment come together in real</w:t>
      </w:r>
      <w:r w:rsidRPr="006703C4">
        <w:rPr>
          <w:rFonts w:ascii="Arial" w:hAnsi="Arial" w:cs="Arial"/>
          <w:bCs/>
        </w:rPr>
        <w:noBreakHyphen/>
        <w:t>world applications. Our team will be available at the Terex Stand C30314 throughout the show to discuss configurations and project</w:t>
      </w:r>
      <w:r w:rsidRPr="006703C4">
        <w:rPr>
          <w:rFonts w:ascii="Arial" w:hAnsi="Arial" w:cs="Arial"/>
          <w:bCs/>
        </w:rPr>
        <w:noBreakHyphen/>
        <w:t>specific needs.”</w:t>
      </w:r>
    </w:p>
    <w:p w14:paraId="60D998CE" w14:textId="77777777" w:rsidR="006703C4" w:rsidRPr="006703C4" w:rsidRDefault="006703C4" w:rsidP="006703C4">
      <w:pPr>
        <w:spacing w:before="180" w:after="120" w:line="360" w:lineRule="auto"/>
        <w:ind w:right="720"/>
        <w:rPr>
          <w:rFonts w:ascii="Arial" w:hAnsi="Arial" w:cs="Arial"/>
          <w:bCs/>
        </w:rPr>
      </w:pPr>
      <w:r w:rsidRPr="006703C4">
        <w:rPr>
          <w:rFonts w:ascii="Arial" w:hAnsi="Arial" w:cs="Arial"/>
          <w:bCs/>
        </w:rPr>
        <w:t xml:space="preserve">For more information, please visit </w:t>
      </w:r>
      <w:hyperlink r:id="rId6" w:history="1">
        <w:r w:rsidRPr="006703C4">
          <w:rPr>
            <w:rStyle w:val="Hyperlink"/>
            <w:rFonts w:ascii="Arial" w:hAnsi="Arial" w:cs="Arial"/>
            <w:bCs/>
          </w:rPr>
          <w:t>www.terex.com/bid-well</w:t>
        </w:r>
      </w:hyperlink>
      <w:r w:rsidRPr="006703C4">
        <w:rPr>
          <w:rFonts w:ascii="Arial" w:hAnsi="Arial" w:cs="Arial"/>
          <w:bCs/>
        </w:rPr>
        <w:t>.</w:t>
      </w:r>
    </w:p>
    <w:p w14:paraId="0C02ADFD" w14:textId="16C80056" w:rsidR="006137CB" w:rsidRPr="008E04A7" w:rsidRDefault="006137CB" w:rsidP="006137CB">
      <w:pPr>
        <w:spacing w:before="180" w:after="120" w:line="360" w:lineRule="auto"/>
        <w:ind w:right="720"/>
        <w:rPr>
          <w:rFonts w:ascii="Arial" w:hAnsi="Arial" w:cs="Arial"/>
          <w:bCs/>
        </w:rPr>
      </w:pPr>
    </w:p>
    <w:p w14:paraId="5DD98106" w14:textId="77777777" w:rsidR="006137CB" w:rsidRPr="008E04A7" w:rsidRDefault="006137CB" w:rsidP="006137CB">
      <w:pPr>
        <w:jc w:val="center"/>
        <w:rPr>
          <w:rStyle w:val="Strong"/>
          <w:rFonts w:ascii="Arial" w:hAnsi="Arial" w:cs="Arial"/>
          <w:sz w:val="28"/>
          <w:szCs w:val="28"/>
          <w:lang w:val="en"/>
        </w:rPr>
      </w:pPr>
      <w:r w:rsidRPr="008E04A7">
        <w:rPr>
          <w:rStyle w:val="Strong"/>
          <w:rFonts w:ascii="Arial" w:hAnsi="Arial" w:cs="Arial"/>
          <w:sz w:val="28"/>
          <w:szCs w:val="28"/>
          <w:lang w:val="en"/>
        </w:rPr>
        <w:t>ENDS</w:t>
      </w:r>
    </w:p>
    <w:p w14:paraId="2F2366DE" w14:textId="77777777" w:rsidR="006137CB" w:rsidRDefault="006137CB" w:rsidP="008B5966">
      <w:pPr>
        <w:rPr>
          <w:rFonts w:ascii="Arial" w:hAnsi="Arial" w:cs="Arial"/>
          <w:b/>
          <w:bCs/>
          <w:sz w:val="20"/>
          <w:szCs w:val="20"/>
        </w:rPr>
      </w:pPr>
    </w:p>
    <w:p w14:paraId="51FB0983" w14:textId="507971DD" w:rsidR="008B5966" w:rsidRPr="006137CB" w:rsidRDefault="008B5966" w:rsidP="008B5966">
      <w:pPr>
        <w:rPr>
          <w:rFonts w:ascii="Arial" w:hAnsi="Arial" w:cs="Arial"/>
          <w:b/>
          <w:bCs/>
        </w:rPr>
      </w:pPr>
      <w:r w:rsidRPr="006137CB">
        <w:rPr>
          <w:rFonts w:ascii="Arial" w:hAnsi="Arial" w:cs="Arial"/>
          <w:b/>
          <w:bCs/>
        </w:rPr>
        <w:t>Media Contact</w:t>
      </w:r>
      <w:r w:rsidR="00237637">
        <w:rPr>
          <w:rFonts w:ascii="Arial" w:hAnsi="Arial" w:cs="Arial"/>
          <w:b/>
          <w:bCs/>
        </w:rPr>
        <w:t>:</w:t>
      </w:r>
    </w:p>
    <w:p w14:paraId="594A3E14" w14:textId="17EE8539" w:rsidR="008B5966" w:rsidRPr="006137CB" w:rsidRDefault="008B5966" w:rsidP="008B5966">
      <w:pPr>
        <w:rPr>
          <w:rFonts w:ascii="Arial" w:hAnsi="Arial" w:cs="Arial"/>
        </w:rPr>
      </w:pPr>
      <w:r w:rsidRPr="00B315DB">
        <w:rPr>
          <w:rFonts w:ascii="Arial" w:hAnsi="Arial" w:cs="Arial"/>
          <w:b/>
          <w:bCs/>
          <w:color w:val="D3072A"/>
        </w:rPr>
        <w:t>Kerry-Ann McGeown</w:t>
      </w:r>
      <w:r w:rsidRPr="006137CB">
        <w:rPr>
          <w:rFonts w:ascii="Arial" w:hAnsi="Arial" w:cs="Arial"/>
        </w:rPr>
        <w:br/>
        <w:t>Global Communications Manager, Terex MP</w:t>
      </w:r>
      <w:r w:rsidRPr="006137CB">
        <w:rPr>
          <w:rFonts w:ascii="Arial" w:hAnsi="Arial" w:cs="Arial"/>
        </w:rPr>
        <w:br/>
      </w:r>
      <w:hyperlink r:id="rId7" w:history="1">
        <w:r w:rsidR="00625C6A" w:rsidRPr="003D5645">
          <w:rPr>
            <w:rStyle w:val="Hyperlink"/>
            <w:rFonts w:ascii="Arial" w:hAnsi="Arial" w:cs="Arial"/>
          </w:rPr>
          <w:t>kerry-ann.mcgeown@terex.com</w:t>
        </w:r>
      </w:hyperlink>
      <w:r w:rsidRPr="006137CB">
        <w:rPr>
          <w:rFonts w:ascii="Arial" w:hAnsi="Arial" w:cs="Arial"/>
        </w:rPr>
        <w:t xml:space="preserve"> </w:t>
      </w:r>
    </w:p>
    <w:p w14:paraId="0A0DA0DA" w14:textId="4BBB9F09" w:rsidR="002E267A" w:rsidRPr="006137CB" w:rsidRDefault="002E267A" w:rsidP="002E267A">
      <w:pPr>
        <w:shd w:val="clear" w:color="auto" w:fill="FFFFFF"/>
        <w:spacing w:after="0" w:line="240" w:lineRule="auto"/>
        <w:rPr>
          <w:rFonts w:ascii="Arial" w:eastAsia="Times New Roman" w:hAnsi="Arial" w:cs="Arial"/>
          <w:color w:val="000000"/>
          <w:lang w:eastAsia="en-GB"/>
        </w:rPr>
      </w:pPr>
      <w:r w:rsidRPr="006137CB">
        <w:rPr>
          <w:rFonts w:ascii="Arial" w:eastAsia="Times New Roman" w:hAnsi="Arial" w:cs="Arial"/>
          <w:b/>
          <w:bCs/>
          <w:color w:val="000000"/>
          <w:lang w:eastAsia="en-GB"/>
        </w:rPr>
        <w:br/>
        <w:t>About Bid-Well</w:t>
      </w:r>
    </w:p>
    <w:p w14:paraId="47E0814B" w14:textId="77777777" w:rsidR="002E267A" w:rsidRPr="006137CB" w:rsidRDefault="002E267A" w:rsidP="002E267A">
      <w:pPr>
        <w:shd w:val="clear" w:color="auto" w:fill="FFFFFF"/>
        <w:spacing w:after="0" w:line="240" w:lineRule="auto"/>
        <w:rPr>
          <w:rFonts w:ascii="Arial" w:eastAsia="Times New Roman" w:hAnsi="Arial" w:cs="Arial"/>
          <w:color w:val="000000"/>
          <w:lang w:eastAsia="en-GB"/>
        </w:rPr>
      </w:pPr>
      <w:r w:rsidRPr="006137CB">
        <w:rPr>
          <w:rFonts w:ascii="Arial" w:eastAsia="Times New Roman" w:hAnsi="Arial" w:cs="Arial"/>
          <w:color w:val="000000"/>
          <w:lang w:eastAsia="en-GB"/>
        </w:rPr>
        <w:t>Since 1961 Bid-Well has been an industry leader in the development and manufacture of a complete line of versatile and specialized concrete paving machines for the heavy and highway construction market. The Bid-Well® full line of automatic concrete roller pavers include bridge deck pavers and overlay machines, airport, road and street pavers, concrete placers, texturing/curing machines, specialized paver/trimmer for slopes and canal paving, along with work bridges that meet any job requirement.</w:t>
      </w:r>
    </w:p>
    <w:p w14:paraId="0ACCF9A2" w14:textId="77777777" w:rsidR="002E267A" w:rsidRPr="006137CB" w:rsidRDefault="002E267A" w:rsidP="002E267A">
      <w:pPr>
        <w:shd w:val="clear" w:color="auto" w:fill="FFFFFF"/>
        <w:spacing w:after="0" w:line="240" w:lineRule="auto"/>
        <w:rPr>
          <w:rFonts w:ascii="Arial" w:eastAsia="Times New Roman" w:hAnsi="Arial" w:cs="Arial"/>
          <w:color w:val="000000"/>
          <w:lang w:eastAsia="en-GB"/>
        </w:rPr>
      </w:pPr>
    </w:p>
    <w:p w14:paraId="74917817" w14:textId="77777777" w:rsidR="002E267A" w:rsidRPr="006137CB" w:rsidRDefault="002E267A" w:rsidP="002E267A">
      <w:pPr>
        <w:shd w:val="clear" w:color="auto" w:fill="FFFFFF"/>
        <w:spacing w:after="0" w:line="240" w:lineRule="auto"/>
        <w:rPr>
          <w:rFonts w:ascii="Arial" w:eastAsia="Times New Roman" w:hAnsi="Arial" w:cs="Arial"/>
          <w:color w:val="000000"/>
          <w:lang w:eastAsia="en-GB"/>
        </w:rPr>
      </w:pPr>
      <w:r w:rsidRPr="006137CB">
        <w:rPr>
          <w:rFonts w:ascii="Arial" w:eastAsia="Times New Roman" w:hAnsi="Arial" w:cs="Arial"/>
          <w:b/>
          <w:bCs/>
          <w:color w:val="000000"/>
          <w:lang w:eastAsia="en-GB"/>
        </w:rPr>
        <w:t>About Terex</w:t>
      </w:r>
    </w:p>
    <w:p w14:paraId="52080AFF" w14:textId="77777777" w:rsidR="006137CB" w:rsidRPr="006137CB" w:rsidRDefault="006137CB" w:rsidP="006137CB">
      <w:pPr>
        <w:spacing w:line="276" w:lineRule="auto"/>
        <w:rPr>
          <w:rFonts w:ascii="Arial" w:hAnsi="Arial" w:cs="Arial"/>
          <w:color w:val="000000" w:themeColor="text1"/>
        </w:rPr>
      </w:pPr>
      <w:r w:rsidRPr="006137CB">
        <w:rPr>
          <w:rStyle w:val="normaltextrun"/>
          <w:rFonts w:ascii="Arial" w:hAnsi="Arial" w:cs="Arial"/>
          <w:color w:val="000000"/>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p w14:paraId="53382D6D" w14:textId="4B558AFF" w:rsidR="008B5966" w:rsidRPr="00324B36" w:rsidRDefault="008B5966" w:rsidP="00A76ABF">
      <w:pPr>
        <w:rPr>
          <w:rFonts w:ascii="Arial" w:hAnsi="Arial" w:cs="Arial"/>
          <w:b/>
          <w:bCs/>
          <w:sz w:val="20"/>
          <w:szCs w:val="20"/>
        </w:rPr>
      </w:pPr>
    </w:p>
    <w:sectPr w:rsidR="008B5966" w:rsidRPr="00324B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E6586"/>
    <w:multiLevelType w:val="multilevel"/>
    <w:tmpl w:val="407E7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9215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CE1"/>
    <w:rsid w:val="0005037C"/>
    <w:rsid w:val="00237637"/>
    <w:rsid w:val="002E267A"/>
    <w:rsid w:val="002E365D"/>
    <w:rsid w:val="00324B36"/>
    <w:rsid w:val="006137CB"/>
    <w:rsid w:val="00625C6A"/>
    <w:rsid w:val="006703C4"/>
    <w:rsid w:val="006D78B3"/>
    <w:rsid w:val="00725641"/>
    <w:rsid w:val="00725643"/>
    <w:rsid w:val="007B0A12"/>
    <w:rsid w:val="008B5966"/>
    <w:rsid w:val="0092449B"/>
    <w:rsid w:val="00A42EF2"/>
    <w:rsid w:val="00A76ABF"/>
    <w:rsid w:val="00A8767A"/>
    <w:rsid w:val="00B315DB"/>
    <w:rsid w:val="00B52C1B"/>
    <w:rsid w:val="00C7268D"/>
    <w:rsid w:val="00CC4DCF"/>
    <w:rsid w:val="00D46F25"/>
    <w:rsid w:val="00D52CE1"/>
    <w:rsid w:val="00D74FA7"/>
    <w:rsid w:val="00DD5BA0"/>
    <w:rsid w:val="00ED3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906F3"/>
  <w15:chartTrackingRefBased/>
  <w15:docId w15:val="{4DAD5463-8F1F-43CF-8A0B-D3E61CCD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2CE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qFormat/>
    <w:rsid w:val="00D52CE1"/>
    <w:rPr>
      <w:b/>
      <w:bCs/>
    </w:rPr>
  </w:style>
  <w:style w:type="character" w:styleId="Hyperlink">
    <w:name w:val="Hyperlink"/>
    <w:basedOn w:val="DefaultParagraphFont"/>
    <w:uiPriority w:val="99"/>
    <w:unhideWhenUsed/>
    <w:rsid w:val="008B5966"/>
    <w:rPr>
      <w:color w:val="0563C1" w:themeColor="hyperlink"/>
      <w:u w:val="single"/>
    </w:rPr>
  </w:style>
  <w:style w:type="character" w:styleId="UnresolvedMention">
    <w:name w:val="Unresolved Mention"/>
    <w:basedOn w:val="DefaultParagraphFont"/>
    <w:uiPriority w:val="99"/>
    <w:semiHidden/>
    <w:unhideWhenUsed/>
    <w:rsid w:val="008B5966"/>
    <w:rPr>
      <w:color w:val="605E5C"/>
      <w:shd w:val="clear" w:color="auto" w:fill="E1DFDD"/>
    </w:rPr>
  </w:style>
  <w:style w:type="character" w:customStyle="1" w:styleId="normaltextrun">
    <w:name w:val="normaltextrun"/>
    <w:basedOn w:val="DefaultParagraphFont"/>
    <w:rsid w:val="00613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385208">
      <w:bodyDiv w:val="1"/>
      <w:marLeft w:val="0"/>
      <w:marRight w:val="0"/>
      <w:marTop w:val="0"/>
      <w:marBottom w:val="0"/>
      <w:divBdr>
        <w:top w:val="none" w:sz="0" w:space="0" w:color="auto"/>
        <w:left w:val="none" w:sz="0" w:space="0" w:color="auto"/>
        <w:bottom w:val="none" w:sz="0" w:space="0" w:color="auto"/>
        <w:right w:val="none" w:sz="0" w:space="0" w:color="auto"/>
      </w:divBdr>
    </w:div>
    <w:div w:id="1881165229">
      <w:bodyDiv w:val="1"/>
      <w:marLeft w:val="0"/>
      <w:marRight w:val="0"/>
      <w:marTop w:val="0"/>
      <w:marBottom w:val="0"/>
      <w:divBdr>
        <w:top w:val="none" w:sz="0" w:space="0" w:color="auto"/>
        <w:left w:val="none" w:sz="0" w:space="0" w:color="auto"/>
        <w:bottom w:val="none" w:sz="0" w:space="0" w:color="auto"/>
        <w:right w:val="none" w:sz="0" w:space="0" w:color="auto"/>
      </w:divBdr>
      <w:divsChild>
        <w:div w:id="1191913823">
          <w:marLeft w:val="0"/>
          <w:marRight w:val="0"/>
          <w:marTop w:val="0"/>
          <w:marBottom w:val="0"/>
          <w:divBdr>
            <w:top w:val="none" w:sz="0" w:space="0" w:color="auto"/>
            <w:left w:val="none" w:sz="0" w:space="0" w:color="auto"/>
            <w:bottom w:val="none" w:sz="0" w:space="0" w:color="auto"/>
            <w:right w:val="none" w:sz="0" w:space="0" w:color="auto"/>
          </w:divBdr>
        </w:div>
        <w:div w:id="589507584">
          <w:marLeft w:val="0"/>
          <w:marRight w:val="0"/>
          <w:marTop w:val="0"/>
          <w:marBottom w:val="0"/>
          <w:divBdr>
            <w:top w:val="none" w:sz="0" w:space="0" w:color="auto"/>
            <w:left w:val="none" w:sz="0" w:space="0" w:color="auto"/>
            <w:bottom w:val="none" w:sz="0" w:space="0" w:color="auto"/>
            <w:right w:val="none" w:sz="0" w:space="0" w:color="auto"/>
          </w:divBdr>
        </w:div>
        <w:div w:id="75325412">
          <w:marLeft w:val="0"/>
          <w:marRight w:val="0"/>
          <w:marTop w:val="0"/>
          <w:marBottom w:val="0"/>
          <w:divBdr>
            <w:top w:val="none" w:sz="0" w:space="0" w:color="auto"/>
            <w:left w:val="none" w:sz="0" w:space="0" w:color="auto"/>
            <w:bottom w:val="none" w:sz="0" w:space="0" w:color="auto"/>
            <w:right w:val="none" w:sz="0" w:space="0" w:color="auto"/>
          </w:divBdr>
        </w:div>
        <w:div w:id="1192693109">
          <w:marLeft w:val="0"/>
          <w:marRight w:val="0"/>
          <w:marTop w:val="0"/>
          <w:marBottom w:val="0"/>
          <w:divBdr>
            <w:top w:val="none" w:sz="0" w:space="0" w:color="auto"/>
            <w:left w:val="none" w:sz="0" w:space="0" w:color="auto"/>
            <w:bottom w:val="none" w:sz="0" w:space="0" w:color="auto"/>
            <w:right w:val="none" w:sz="0" w:space="0" w:color="auto"/>
          </w:divBdr>
        </w:div>
        <w:div w:id="1460686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erry-ann.mcgeown@tere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rex.com/bid-well"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3928</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Terex</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McGeown, Kerry-Ann</dc:creator>
  <cp:keywords/>
  <dc:description/>
  <cp:lastModifiedBy>McGeown, Kerry-Ann</cp:lastModifiedBy>
  <cp:revision>2</cp:revision>
  <cp:lastPrinted>2023-12-13T09:20:00Z</cp:lastPrinted>
  <dcterms:created xsi:type="dcterms:W3CDTF">2026-02-04T10:13:00Z</dcterms:created>
  <dcterms:modified xsi:type="dcterms:W3CDTF">2026-02-04T10:13:00Z</dcterms:modified>
</cp:coreProperties>
</file>